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452CF" w14:textId="5791C268" w:rsidR="008840F0" w:rsidRPr="008B1D7C" w:rsidRDefault="008840F0" w:rsidP="008840F0">
      <w:pPr>
        <w:tabs>
          <w:tab w:val="left" w:pos="1985"/>
        </w:tabs>
        <w:rPr>
          <w:rFonts w:ascii="Arial" w:hAnsi="Arial"/>
          <w:b/>
          <w:sz w:val="24"/>
        </w:rPr>
      </w:pPr>
      <w:r w:rsidRPr="008B1D7C">
        <w:rPr>
          <w:rFonts w:ascii="Arial" w:hAnsi="Arial"/>
          <w:b/>
          <w:sz w:val="24"/>
        </w:rPr>
        <w:t>3GPP TSG-RAN WG2 Meeting #12</w:t>
      </w:r>
      <w:r>
        <w:rPr>
          <w:rFonts w:ascii="Arial" w:hAnsi="Arial"/>
          <w:b/>
          <w:sz w:val="24"/>
        </w:rPr>
        <w:t>9</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971DF">
        <w:rPr>
          <w:rFonts w:ascii="Arial" w:hAnsi="Arial"/>
          <w:b/>
          <w:sz w:val="24"/>
        </w:rPr>
        <w:t>R2-2</w:t>
      </w:r>
      <w:r w:rsidR="00B7774B">
        <w:rPr>
          <w:rFonts w:ascii="Arial" w:hAnsi="Arial"/>
          <w:b/>
          <w:sz w:val="24"/>
        </w:rPr>
        <w:t>500</w:t>
      </w:r>
      <w:r w:rsidR="006E0ABB">
        <w:rPr>
          <w:rFonts w:ascii="Arial" w:hAnsi="Arial"/>
          <w:b/>
          <w:sz w:val="24"/>
        </w:rPr>
        <w:t>370</w:t>
      </w:r>
    </w:p>
    <w:p w14:paraId="6009C057" w14:textId="77777777" w:rsidR="008840F0" w:rsidRPr="008840F0" w:rsidRDefault="008840F0" w:rsidP="008840F0">
      <w:pPr>
        <w:tabs>
          <w:tab w:val="left" w:pos="1985"/>
        </w:tabs>
        <w:rPr>
          <w:rFonts w:ascii="Arial" w:hAnsi="Arial"/>
          <w:b/>
          <w:sz w:val="24"/>
        </w:rPr>
      </w:pPr>
      <w:r w:rsidRPr="008840F0">
        <w:rPr>
          <w:rFonts w:ascii="Arial" w:hAnsi="Arial"/>
          <w:b/>
          <w:sz w:val="24"/>
        </w:rPr>
        <w:t>Athens, Greece, Feb. 17th – 21st, 2025</w:t>
      </w:r>
    </w:p>
    <w:p w14:paraId="08664EDD" w14:textId="0ECC7198"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5D58A8">
        <w:rPr>
          <w:rFonts w:ascii="Arial" w:hAnsi="Arial"/>
          <w:b/>
          <w:sz w:val="24"/>
        </w:rPr>
        <w:t>8.18</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2C7CE9F1"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5D58A8" w:rsidRPr="005D58A8">
        <w:rPr>
          <w:rFonts w:ascii="Arial" w:hAnsi="Arial"/>
          <w:b/>
          <w:sz w:val="24"/>
        </w:rPr>
        <w:t>Handling downlink BWP restriction for MT-SDT</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94DC047" w14:textId="77777777" w:rsidR="005D58A8" w:rsidRDefault="005D58A8" w:rsidP="005D58A8">
      <w:pPr>
        <w:pStyle w:val="Doc-title"/>
      </w:pPr>
      <w:r>
        <w:t xml:space="preserve">RAN2 discussed the downlink BWP restriction for MT-SDT in RAN2#128 based on contribution </w:t>
      </w:r>
      <w:hyperlink r:id="rId8" w:history="1">
        <w:r w:rsidRPr="005D58A8">
          <w:t>R2-2410542</w:t>
        </w:r>
      </w:hyperlink>
      <w:r>
        <w:t xml:space="preserve">. </w:t>
      </w:r>
    </w:p>
    <w:p w14:paraId="72639467" w14:textId="77777777" w:rsidR="005D58A8" w:rsidRDefault="005D58A8" w:rsidP="005D58A8">
      <w:pPr>
        <w:pStyle w:val="Doc-title"/>
      </w:pPr>
    </w:p>
    <w:p w14:paraId="7EA63425" w14:textId="56D632B1" w:rsidR="005D58A8" w:rsidRDefault="005D58A8" w:rsidP="005D58A8">
      <w:pPr>
        <w:pStyle w:val="Doc-title"/>
      </w:pPr>
      <w:r>
        <w:t>The discussion summary is as follows:</w:t>
      </w:r>
    </w:p>
    <w:p w14:paraId="207874EF" w14:textId="77777777" w:rsidR="005D58A8" w:rsidRDefault="005D58A8" w:rsidP="005D58A8">
      <w:pPr>
        <w:pStyle w:val="Doc-title"/>
      </w:pPr>
    </w:p>
    <w:p w14:paraId="4ABC6116" w14:textId="492B62C1" w:rsidR="005D58A8" w:rsidRDefault="004A5A4D" w:rsidP="005D58A8">
      <w:pPr>
        <w:pStyle w:val="Doc-title"/>
        <w:rPr>
          <w:rFonts w:eastAsia="Times New Roman"/>
        </w:rPr>
      </w:pPr>
      <w:hyperlink r:id="rId9" w:history="1">
        <w:r w:rsidR="005D58A8">
          <w:rPr>
            <w:rStyle w:val="Hyperlink"/>
          </w:rPr>
          <w:t>R2-2410542</w:t>
        </w:r>
      </w:hyperlink>
      <w:r w:rsidR="005D58A8">
        <w:t xml:space="preserve"> Quality Indication in Msg3 for SDT        Ericsson          discussion       Rel-19           TEI19</w:t>
      </w:r>
    </w:p>
    <w:p w14:paraId="37E574AA" w14:textId="77777777" w:rsidR="005D58A8" w:rsidRDefault="005D58A8" w:rsidP="005D58A8">
      <w:pPr>
        <w:pStyle w:val="Doc-text2"/>
        <w:rPr>
          <w:i/>
          <w:iCs/>
        </w:rPr>
      </w:pPr>
      <w:r>
        <w:rPr>
          <w:i/>
          <w:iCs/>
        </w:rPr>
        <w:t>Observation 1      MT-SDT operation over initial BWP restricts DL MT-SDT transmissions to the bandwidth of CORESET 0 in RRC_INACTIVE state.</w:t>
      </w:r>
    </w:p>
    <w:p w14:paraId="78B97845" w14:textId="77777777" w:rsidR="005D58A8" w:rsidRDefault="005D58A8" w:rsidP="005D58A8">
      <w:pPr>
        <w:pStyle w:val="Doc-text2"/>
        <w:rPr>
          <w:i/>
          <w:iCs/>
        </w:rPr>
      </w:pPr>
      <w:r>
        <w:rPr>
          <w:i/>
          <w:iCs/>
        </w:rPr>
        <w:t>Observation 2      MT-SDT BWP restriction with no DL quality feedback results in smaller, more conservative TB allocations in the downlink at low MCS values. For larger data volumes, smaller TBS translate to a higher number of subsequent transmissions.</w:t>
      </w:r>
    </w:p>
    <w:p w14:paraId="7E47D916" w14:textId="77777777" w:rsidR="005D58A8" w:rsidRDefault="005D58A8" w:rsidP="005D58A8">
      <w:pPr>
        <w:pStyle w:val="Doc-text2"/>
        <w:rPr>
          <w:i/>
          <w:iCs/>
        </w:rPr>
      </w:pPr>
    </w:p>
    <w:p w14:paraId="25602218" w14:textId="77777777" w:rsidR="005D58A8" w:rsidRDefault="005D58A8" w:rsidP="005D58A8">
      <w:pPr>
        <w:pStyle w:val="Doc-text2"/>
        <w:rPr>
          <w:i/>
          <w:iCs/>
        </w:rPr>
      </w:pPr>
      <w:r>
        <w:rPr>
          <w:i/>
          <w:iCs/>
        </w:rPr>
        <w:t>Proposal 1           RAN2 addresses the BWP restriction in MT-SDT by introducing a Channel Quality Indication (CQI) in Msg3 or MsgA.</w:t>
      </w:r>
    </w:p>
    <w:p w14:paraId="7408CB5B" w14:textId="77777777" w:rsidR="005D58A8" w:rsidRDefault="005D58A8" w:rsidP="005D58A8">
      <w:pPr>
        <w:pStyle w:val="Doc-text2"/>
        <w:rPr>
          <w:i/>
          <w:iCs/>
        </w:rPr>
      </w:pPr>
      <w:r>
        <w:rPr>
          <w:i/>
          <w:iCs/>
        </w:rPr>
        <w:t>Option 1: Remove the CORESET 0 restriction for DL BWP for SDT from/after first DL MT-SDT data</w:t>
      </w:r>
    </w:p>
    <w:p w14:paraId="106E5DB2" w14:textId="77777777" w:rsidR="005D58A8" w:rsidRDefault="005D58A8" w:rsidP="005D58A8">
      <w:pPr>
        <w:pStyle w:val="Doc-text2"/>
        <w:rPr>
          <w:i/>
          <w:iCs/>
        </w:rPr>
      </w:pPr>
      <w:r>
        <w:rPr>
          <w:i/>
          <w:iCs/>
        </w:rPr>
        <w:t>Option 2: Introduce Channel Quality Indication (CQI) in Message 3 or MsgA</w:t>
      </w:r>
    </w:p>
    <w:p w14:paraId="750D1E0C" w14:textId="77777777" w:rsidR="005D58A8" w:rsidRDefault="005D58A8" w:rsidP="005D58A8">
      <w:pPr>
        <w:pStyle w:val="Doc-text2"/>
      </w:pPr>
      <w:r>
        <w:t xml:space="preserve">-     ZTE has sympathy on the problem statement but not sure about the solution, we should just remove the restriction.   The CQI solution is not addressing the problem identified. </w:t>
      </w:r>
    </w:p>
    <w:p w14:paraId="1346AEE5" w14:textId="77777777" w:rsidR="005D58A8" w:rsidRDefault="005D58A8" w:rsidP="005D58A8">
      <w:pPr>
        <w:pStyle w:val="Doc-text2"/>
      </w:pPr>
      <w:r>
        <w:t xml:space="preserve">-     Qualcomm thinks that removing the BWP restriction is not a good choice.   If we don’t </w:t>
      </w:r>
      <w:proofErr w:type="gramStart"/>
      <w:r>
        <w:t>reports</w:t>
      </w:r>
      <w:proofErr w:type="gramEnd"/>
      <w:r>
        <w:t xml:space="preserve"> CQI in msg3 it will impact RAN4 as well.  </w:t>
      </w:r>
    </w:p>
    <w:p w14:paraId="19B03679" w14:textId="77777777" w:rsidR="005D58A8" w:rsidRDefault="005D58A8" w:rsidP="005D58A8">
      <w:pPr>
        <w:pStyle w:val="Doc-text2"/>
      </w:pPr>
      <w:r>
        <w:t xml:space="preserve">-     LG thinks that the BWP restriction is the root cause and we should remove it.   Nokia agrees.    </w:t>
      </w:r>
    </w:p>
    <w:p w14:paraId="18268B0A" w14:textId="77777777" w:rsidR="005D58A8" w:rsidRDefault="005D58A8" w:rsidP="005D58A8">
      <w:pPr>
        <w:pStyle w:val="Doc-text2"/>
      </w:pPr>
      <w:r>
        <w:t xml:space="preserve">-     Sony explains that a similar issues was identified in MBS and we agreed to expand coreset 0, introduce CFR.  We can reuse that solution.  </w:t>
      </w:r>
    </w:p>
    <w:p w14:paraId="19B0B243" w14:textId="77777777" w:rsidR="005D58A8" w:rsidRDefault="005D58A8" w:rsidP="005D58A8">
      <w:pPr>
        <w:pStyle w:val="Agreement"/>
        <w:rPr>
          <w:lang w:val="en-GB"/>
        </w:rPr>
      </w:pPr>
      <w:r>
        <w:rPr>
          <w:lang w:val="en-GB"/>
        </w:rPr>
        <w:t>RAN2 will address this issue.  FFS the exact solution</w:t>
      </w:r>
    </w:p>
    <w:p w14:paraId="0573368E" w14:textId="77777777" w:rsidR="005D58A8" w:rsidRDefault="005D58A8" w:rsidP="005D58A8">
      <w:pPr>
        <w:spacing w:after="0"/>
        <w:jc w:val="both"/>
        <w:rPr>
          <w:rFonts w:ascii="Arial" w:hAnsi="Arial" w:cs="Arial"/>
          <w:lang w:val="en-US" w:eastAsia="x-none"/>
        </w:rPr>
      </w:pPr>
      <w:r w:rsidRPr="004B55E3">
        <w:rPr>
          <w:rFonts w:ascii="Arial" w:hAnsi="Arial" w:cs="Arial"/>
          <w:lang w:val="en-US" w:eastAsia="x-none"/>
        </w:rPr>
        <w:t xml:space="preserve"> </w:t>
      </w:r>
    </w:p>
    <w:p w14:paraId="4C19E496" w14:textId="429BC527" w:rsidR="008554CC" w:rsidRPr="004B55E3" w:rsidRDefault="005D58A8" w:rsidP="005D58A8">
      <w:pPr>
        <w:spacing w:after="0"/>
        <w:jc w:val="both"/>
        <w:rPr>
          <w:rFonts w:ascii="Arial" w:hAnsi="Arial" w:cs="Arial"/>
          <w:lang w:val="en-US" w:eastAsia="x-none"/>
        </w:rPr>
      </w:pPr>
      <w:r>
        <w:rPr>
          <w:rFonts w:ascii="Arial" w:hAnsi="Arial" w:cs="Arial"/>
          <w:lang w:val="en-US" w:eastAsia="x-none"/>
        </w:rPr>
        <w:t>In t</w:t>
      </w:r>
      <w:r w:rsidR="008554CC" w:rsidRPr="004B55E3">
        <w:rPr>
          <w:rFonts w:ascii="Arial" w:hAnsi="Arial" w:cs="Arial"/>
          <w:lang w:val="en-US" w:eastAsia="x-none"/>
        </w:rPr>
        <w:t xml:space="preserve">his contribution </w:t>
      </w:r>
      <w:r>
        <w:rPr>
          <w:rFonts w:ascii="Arial" w:hAnsi="Arial" w:cs="Arial"/>
          <w:lang w:val="en-US" w:eastAsia="x-none"/>
        </w:rPr>
        <w:t xml:space="preserve">we further </w:t>
      </w:r>
      <w:r w:rsidR="00F94613" w:rsidRPr="004B55E3">
        <w:rPr>
          <w:rFonts w:ascii="Arial" w:hAnsi="Arial" w:cs="Arial"/>
          <w:lang w:val="en-US" w:eastAsia="x-none"/>
        </w:rPr>
        <w:t>discuss</w:t>
      </w:r>
      <w:r w:rsidR="008554CC" w:rsidRPr="004B55E3">
        <w:rPr>
          <w:rFonts w:ascii="Arial" w:hAnsi="Arial" w:cs="Arial"/>
          <w:lang w:val="en-US" w:eastAsia="x-none"/>
        </w:rPr>
        <w:t xml:space="preserve"> </w:t>
      </w:r>
      <w:r>
        <w:rPr>
          <w:rFonts w:ascii="Arial" w:hAnsi="Arial" w:cs="Arial"/>
          <w:lang w:val="en-US" w:eastAsia="x-none"/>
        </w:rPr>
        <w:t xml:space="preserve">how to handle </w:t>
      </w:r>
      <w:r w:rsidRPr="005D58A8">
        <w:rPr>
          <w:rFonts w:ascii="Arial" w:hAnsi="Arial" w:cs="Arial"/>
          <w:lang w:val="en-US" w:eastAsia="x-none"/>
        </w:rPr>
        <w:t>downlink BWP restriction for MT-SDT</w:t>
      </w:r>
      <w:r w:rsidR="008554CC" w:rsidRPr="005D58A8">
        <w:rPr>
          <w:rFonts w:ascii="Arial" w:hAnsi="Arial" w:cs="Arial"/>
          <w:lang w:val="en-US" w:eastAsia="x-none"/>
        </w:rPr>
        <w:t>.</w:t>
      </w:r>
      <w:r w:rsidR="008554CC" w:rsidRPr="004B55E3">
        <w:rPr>
          <w:rFonts w:ascii="Arial" w:hAnsi="Arial" w:cs="Arial"/>
          <w:lang w:eastAsia="x-none"/>
        </w:rPr>
        <w:t xml:space="preserve">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4320B11" w14:textId="7F1B8A8D" w:rsidR="0009621A" w:rsidRPr="00F05EB2" w:rsidRDefault="00F05EB2" w:rsidP="00DF155A">
      <w:pPr>
        <w:pStyle w:val="Heading2"/>
        <w:tabs>
          <w:tab w:val="num" w:pos="5526"/>
        </w:tabs>
        <w:ind w:left="576" w:hanging="576"/>
        <w:jc w:val="both"/>
        <w:rPr>
          <w:rFonts w:eastAsiaTheme="minorEastAsia" w:cs="Arial"/>
          <w:sz w:val="28"/>
        </w:rPr>
      </w:pPr>
      <w:bookmarkStart w:id="1" w:name="_Hlk173844678"/>
      <w:r w:rsidRPr="00F05EB2">
        <w:rPr>
          <w:rFonts w:eastAsiaTheme="minorEastAsia" w:cs="Arial"/>
          <w:sz w:val="28"/>
        </w:rPr>
        <w:t xml:space="preserve">2.1 </w:t>
      </w:r>
      <w:r w:rsidR="005D58A8">
        <w:rPr>
          <w:rFonts w:eastAsiaTheme="minorEastAsia" w:cs="Arial"/>
          <w:sz w:val="28"/>
        </w:rPr>
        <w:t>RA-based MT-SDT</w:t>
      </w:r>
    </w:p>
    <w:bookmarkEnd w:id="1"/>
    <w:p w14:paraId="7817AADC" w14:textId="24B481A6" w:rsidR="005D58A8" w:rsidRPr="005D58A8" w:rsidRDefault="005D58A8" w:rsidP="005D58A8">
      <w:pPr>
        <w:pStyle w:val="Doc-text2"/>
        <w:ind w:left="0" w:firstLine="0"/>
        <w:rPr>
          <w:rFonts w:eastAsia="Times New Roman"/>
          <w:bCs/>
          <w:u w:val="single"/>
        </w:rPr>
      </w:pPr>
      <w:r w:rsidRPr="005D58A8">
        <w:rPr>
          <w:bCs/>
          <w:u w:val="single"/>
        </w:rPr>
        <w:t>Current Procedure</w:t>
      </w:r>
    </w:p>
    <w:p w14:paraId="3F02B2DB" w14:textId="77777777" w:rsidR="005D58A8" w:rsidRDefault="005D58A8" w:rsidP="005D58A8">
      <w:pPr>
        <w:pStyle w:val="Doc-text2"/>
        <w:numPr>
          <w:ilvl w:val="0"/>
          <w:numId w:val="47"/>
        </w:numPr>
        <w:tabs>
          <w:tab w:val="clear" w:pos="1622"/>
        </w:tabs>
      </w:pPr>
      <w:r>
        <w:t xml:space="preserve">UE initiate random access procedure and uses the regular (i.e. not defined for MO-SDT) RA resources. A resume cause indicating MT-SDT is included in the </w:t>
      </w:r>
      <w:r>
        <w:rPr>
          <w:i/>
          <w:iCs/>
        </w:rPr>
        <w:t>RRCResumeRequest/RRCResumeRequest1</w:t>
      </w:r>
      <w:r>
        <w:t>.</w:t>
      </w:r>
    </w:p>
    <w:p w14:paraId="65945BFD" w14:textId="099A813C" w:rsidR="005D58A8" w:rsidRDefault="005D58A8" w:rsidP="005D58A8">
      <w:pPr>
        <w:pStyle w:val="Doc-text2"/>
        <w:numPr>
          <w:ilvl w:val="0"/>
          <w:numId w:val="47"/>
        </w:numPr>
        <w:tabs>
          <w:tab w:val="clear" w:pos="1622"/>
        </w:tabs>
      </w:pPr>
      <w:r>
        <w:t>UE transmit RA preamble on Initial Uplink BWP</w:t>
      </w:r>
    </w:p>
    <w:p w14:paraId="6BC4B714" w14:textId="77777777" w:rsidR="005D58A8" w:rsidRDefault="005D58A8" w:rsidP="005D58A8">
      <w:pPr>
        <w:pStyle w:val="Doc-text2"/>
        <w:numPr>
          <w:ilvl w:val="0"/>
          <w:numId w:val="47"/>
        </w:numPr>
        <w:tabs>
          <w:tab w:val="clear" w:pos="1622"/>
        </w:tabs>
      </w:pPr>
      <w:r>
        <w:t>UE receives RAR on Initial Downlink BWP. UE transmits Msg3 on Initial Uplink BWP based on received UL grant in RAR.</w:t>
      </w:r>
    </w:p>
    <w:p w14:paraId="4F4E722C" w14:textId="14D7CC3C" w:rsidR="005D58A8" w:rsidRDefault="005D58A8" w:rsidP="005D58A8">
      <w:pPr>
        <w:pStyle w:val="Doc-text2"/>
        <w:numPr>
          <w:ilvl w:val="0"/>
          <w:numId w:val="47"/>
        </w:numPr>
        <w:tabs>
          <w:tab w:val="clear" w:pos="1622"/>
        </w:tabs>
      </w:pPr>
      <w:r>
        <w:t>UE monitors PDCCH addressed to TC-RNTI on Initial Downlink BWP. UE receives Msg4 on Initial Downlink BWP. Contention resolution is successful. Random access procedure is successfully completed. TC-RNTI is promoted to C-RNTI.</w:t>
      </w:r>
    </w:p>
    <w:p w14:paraId="2F25F47D" w14:textId="77777777" w:rsidR="005D58A8" w:rsidRDefault="005D58A8" w:rsidP="005D58A8">
      <w:pPr>
        <w:pStyle w:val="Doc-text2"/>
        <w:numPr>
          <w:ilvl w:val="0"/>
          <w:numId w:val="47"/>
        </w:numPr>
        <w:tabs>
          <w:tab w:val="clear" w:pos="1622"/>
        </w:tabs>
      </w:pPr>
      <w:r>
        <w:t>UE monitors PDCCH addressed to C-RNTI on Initial Downlink BWP.</w:t>
      </w:r>
    </w:p>
    <w:p w14:paraId="13815FC6" w14:textId="78E11C48" w:rsidR="005D58A8" w:rsidRDefault="005D58A8" w:rsidP="005D58A8">
      <w:pPr>
        <w:pStyle w:val="Doc-text2"/>
        <w:numPr>
          <w:ilvl w:val="0"/>
          <w:numId w:val="47"/>
        </w:numPr>
        <w:tabs>
          <w:tab w:val="clear" w:pos="1622"/>
        </w:tabs>
      </w:pPr>
      <w:r>
        <w:t>UL and DL data transmission/reception on Initial Uplink BWP/Initial Downlink BWP</w:t>
      </w:r>
    </w:p>
    <w:p w14:paraId="5ED1814B" w14:textId="265A0492" w:rsidR="005D58A8" w:rsidRDefault="005D58A8" w:rsidP="005D58A8">
      <w:pPr>
        <w:pStyle w:val="Doc-text2"/>
        <w:tabs>
          <w:tab w:val="clear" w:pos="1622"/>
        </w:tabs>
        <w:ind w:left="0" w:firstLine="0"/>
      </w:pPr>
    </w:p>
    <w:p w14:paraId="666E2536" w14:textId="7A85935E" w:rsidR="005D58A8" w:rsidRDefault="005D58A8" w:rsidP="005D58A8">
      <w:pPr>
        <w:pStyle w:val="Doc-text2"/>
        <w:tabs>
          <w:tab w:val="clear" w:pos="1622"/>
        </w:tabs>
        <w:ind w:left="0" w:firstLine="0"/>
      </w:pPr>
      <w:r>
        <w:lastRenderedPageBreak/>
        <w:t>To address the issue of BWP restriction for MT-SDT, a downlink BWP for MT-SDT can be introduced. It can be signalled in SIB1. Modified procedure for RA-based MT-SDT can be as follows:</w:t>
      </w:r>
    </w:p>
    <w:p w14:paraId="71738165" w14:textId="77777777" w:rsidR="00AA235C" w:rsidRDefault="00AA235C" w:rsidP="005D58A8">
      <w:pPr>
        <w:pStyle w:val="Doc-text2"/>
        <w:tabs>
          <w:tab w:val="clear" w:pos="1622"/>
        </w:tabs>
        <w:ind w:left="0" w:firstLine="0"/>
      </w:pPr>
    </w:p>
    <w:p w14:paraId="2587497C" w14:textId="6F5171ED" w:rsidR="005D58A8" w:rsidRDefault="005D58A8" w:rsidP="005D58A8">
      <w:pPr>
        <w:pStyle w:val="Doc-text2"/>
        <w:numPr>
          <w:ilvl w:val="0"/>
          <w:numId w:val="49"/>
        </w:numPr>
        <w:tabs>
          <w:tab w:val="clear" w:pos="1622"/>
        </w:tabs>
        <w:rPr>
          <w:rFonts w:eastAsia="Times New Roman"/>
        </w:rPr>
      </w:pPr>
      <w:r>
        <w:t>Network configures a downlink BWP for MT-SDT</w:t>
      </w:r>
    </w:p>
    <w:p w14:paraId="43E44524" w14:textId="34544B81" w:rsidR="005D58A8" w:rsidRPr="00F94613" w:rsidRDefault="005D58A8" w:rsidP="00C878D2">
      <w:pPr>
        <w:pStyle w:val="Doc-text2"/>
        <w:numPr>
          <w:ilvl w:val="0"/>
          <w:numId w:val="49"/>
        </w:numPr>
        <w:tabs>
          <w:tab w:val="clear" w:pos="1622"/>
        </w:tabs>
        <w:rPr>
          <w:color w:val="0000FF"/>
        </w:rPr>
      </w:pPr>
      <w:r>
        <w:t xml:space="preserve">UE initiate random access procedure. A resume cause indicating MT-SDT is included in the </w:t>
      </w:r>
      <w:r w:rsidRPr="00C878D2">
        <w:rPr>
          <w:i/>
          <w:iCs/>
        </w:rPr>
        <w:t>RRCResumeRequest/RRCResumeRequest1</w:t>
      </w:r>
      <w:r>
        <w:t>.</w:t>
      </w:r>
      <w:r w:rsidR="00C878D2">
        <w:t xml:space="preserve"> </w:t>
      </w:r>
      <w:r w:rsidR="00C878D2" w:rsidRPr="00AA235C">
        <w:t xml:space="preserve">UE may also need to indicate the it supports new DL BWP for MT-SDT. </w:t>
      </w:r>
      <w:r w:rsidRPr="00AA235C">
        <w:t>New resume cause indicating MT-SDT using DL BWP for MT-SDT</w:t>
      </w:r>
      <w:r w:rsidR="00C878D2" w:rsidRPr="00AA235C">
        <w:t xml:space="preserve"> can be defined for this purpose.</w:t>
      </w:r>
      <w:r w:rsidR="00C878D2" w:rsidRPr="00C878D2">
        <w:rPr>
          <w:b/>
        </w:rPr>
        <w:t xml:space="preserve"> </w:t>
      </w:r>
      <w:r w:rsidR="00C878D2" w:rsidRPr="00F94613">
        <w:t xml:space="preserve">Other option could be </w:t>
      </w:r>
      <w:r w:rsidRPr="00F94613">
        <w:t>separate RA resources/partition for MT-SDT using DL BWP for MT-SDT</w:t>
      </w:r>
      <w:r w:rsidR="00C878D2" w:rsidRPr="00F94613">
        <w:t>.</w:t>
      </w:r>
      <w:r w:rsidR="00F94613" w:rsidRPr="00F94613">
        <w:t xml:space="preserve"> Resume cause approach is simpler than separate RA resources/partition for MT-SDT as it works for both CG based and RA based MT-SDT.</w:t>
      </w:r>
    </w:p>
    <w:p w14:paraId="42871829" w14:textId="77777777" w:rsidR="00C878D2" w:rsidRDefault="00C878D2" w:rsidP="00C878D2">
      <w:pPr>
        <w:pStyle w:val="Doc-text2"/>
        <w:numPr>
          <w:ilvl w:val="0"/>
          <w:numId w:val="49"/>
        </w:numPr>
        <w:tabs>
          <w:tab w:val="clear" w:pos="1622"/>
        </w:tabs>
      </w:pPr>
      <w:r>
        <w:t>UE transmit RA preamble on Initial Uplink BWP</w:t>
      </w:r>
    </w:p>
    <w:p w14:paraId="53B6AA25" w14:textId="77777777" w:rsidR="00C878D2" w:rsidRDefault="00C878D2" w:rsidP="00C878D2">
      <w:pPr>
        <w:pStyle w:val="Doc-text2"/>
        <w:numPr>
          <w:ilvl w:val="0"/>
          <w:numId w:val="49"/>
        </w:numPr>
        <w:tabs>
          <w:tab w:val="clear" w:pos="1622"/>
        </w:tabs>
      </w:pPr>
      <w:r>
        <w:t>UE receives RAR on Initial Downlink BWP. UE transmits Msg3 on Initial Uplink BWP based on received UL grant in RAR.</w:t>
      </w:r>
    </w:p>
    <w:p w14:paraId="5E396C02" w14:textId="77777777" w:rsidR="00C878D2" w:rsidRDefault="00C878D2" w:rsidP="00C878D2">
      <w:pPr>
        <w:pStyle w:val="Doc-text2"/>
        <w:numPr>
          <w:ilvl w:val="0"/>
          <w:numId w:val="49"/>
        </w:numPr>
        <w:tabs>
          <w:tab w:val="clear" w:pos="1622"/>
        </w:tabs>
      </w:pPr>
      <w:r>
        <w:t>UE monitors PDCCH addressed to TC-RNTI on Initial Downlink BWP. UE receives Msg4 on Initial Downlink BWP. Contention resolution is successful. Random access procedure is successfully completed. TC-RNTI is promoted to C-RNTI.</w:t>
      </w:r>
    </w:p>
    <w:p w14:paraId="60382FC1" w14:textId="0D71B500" w:rsidR="005D58A8" w:rsidRPr="00F94613" w:rsidRDefault="005D58A8" w:rsidP="00C878D2">
      <w:pPr>
        <w:pStyle w:val="Doc-text2"/>
        <w:numPr>
          <w:ilvl w:val="0"/>
          <w:numId w:val="49"/>
        </w:numPr>
        <w:tabs>
          <w:tab w:val="clear" w:pos="1622"/>
        </w:tabs>
      </w:pPr>
      <w:r w:rsidRPr="00AA235C">
        <w:t>UE switches to DL BWP configured for MT-SDT after the completion of RA procedure.</w:t>
      </w:r>
      <w:r w:rsidRPr="00F94613">
        <w:t xml:space="preserve"> UE monitor PDCCH addressed to C-RNTI on DL BWP </w:t>
      </w:r>
      <w:r w:rsidR="00C878D2" w:rsidRPr="00F94613">
        <w:t xml:space="preserve">configured for </w:t>
      </w:r>
      <w:r w:rsidRPr="00F94613">
        <w:t>MT-SDT.</w:t>
      </w:r>
      <w:r w:rsidR="00C878D2" w:rsidRPr="00F94613">
        <w:t xml:space="preserve"> </w:t>
      </w:r>
      <w:r w:rsidRPr="00F94613">
        <w:t>UL and DL data transmission/reception on Initial Uplink BWP/dedicated DL BWP for MT-SDT</w:t>
      </w:r>
    </w:p>
    <w:p w14:paraId="6C369440" w14:textId="77777777" w:rsidR="005D58A8" w:rsidRDefault="005D58A8" w:rsidP="005D58A8">
      <w:pPr>
        <w:pStyle w:val="Doc-text2"/>
        <w:tabs>
          <w:tab w:val="clear" w:pos="1622"/>
        </w:tabs>
        <w:ind w:left="0" w:firstLine="0"/>
      </w:pPr>
    </w:p>
    <w:p w14:paraId="7EFB640B" w14:textId="210E3CCE" w:rsidR="00A74786" w:rsidRDefault="00F94613" w:rsidP="00DF155A">
      <w:pPr>
        <w:jc w:val="both"/>
        <w:rPr>
          <w:rFonts w:ascii="Arial" w:hAnsi="Arial" w:cs="Arial"/>
          <w:b/>
        </w:rPr>
      </w:pPr>
      <w:r w:rsidRPr="00F94613">
        <w:rPr>
          <w:rFonts w:ascii="Arial" w:hAnsi="Arial" w:cs="Arial"/>
          <w:b/>
          <w:color w:val="000000" w:themeColor="text1"/>
        </w:rPr>
        <w:t xml:space="preserve">Proposal 1: Introduce a dedicated </w:t>
      </w:r>
      <w:r w:rsidRPr="00F94613">
        <w:rPr>
          <w:rFonts w:ascii="Arial" w:hAnsi="Arial" w:cs="Arial"/>
          <w:b/>
        </w:rPr>
        <w:t>downlink BWP for MT-SDT. This DL BWP is configured in SIB1.</w:t>
      </w:r>
    </w:p>
    <w:p w14:paraId="3A3F7F6E" w14:textId="59841DAB" w:rsidR="00F94613" w:rsidRDefault="00F94613" w:rsidP="00DF155A">
      <w:pPr>
        <w:jc w:val="both"/>
        <w:rPr>
          <w:rFonts w:ascii="Arial" w:hAnsi="Arial" w:cs="Arial"/>
          <w:b/>
        </w:rPr>
      </w:pPr>
      <w:r w:rsidRPr="00F94613">
        <w:rPr>
          <w:rFonts w:ascii="Arial" w:hAnsi="Arial" w:cs="Arial"/>
          <w:b/>
          <w:color w:val="000000" w:themeColor="text1"/>
        </w:rPr>
        <w:t>Proposal 2: Introduce a n</w:t>
      </w:r>
      <w:r w:rsidRPr="00F94613">
        <w:rPr>
          <w:rFonts w:ascii="Arial" w:hAnsi="Arial" w:cs="Arial"/>
          <w:b/>
        </w:rPr>
        <w:t xml:space="preserve">ew resume cause indicating MT-SDT using </w:t>
      </w:r>
      <w:bookmarkStart w:id="2" w:name="_GoBack"/>
      <w:bookmarkEnd w:id="2"/>
      <w:r w:rsidR="00F7590D" w:rsidRPr="00F94613">
        <w:rPr>
          <w:rFonts w:ascii="Arial" w:hAnsi="Arial" w:cs="Arial"/>
          <w:b/>
        </w:rPr>
        <w:t xml:space="preserve">downlink BWP </w:t>
      </w:r>
      <w:r w:rsidR="00F7590D">
        <w:rPr>
          <w:rFonts w:ascii="Arial" w:hAnsi="Arial" w:cs="Arial"/>
          <w:b/>
        </w:rPr>
        <w:t xml:space="preserve">configured </w:t>
      </w:r>
      <w:r w:rsidRPr="00F94613">
        <w:rPr>
          <w:rFonts w:ascii="Arial" w:hAnsi="Arial" w:cs="Arial"/>
          <w:b/>
        </w:rPr>
        <w:t>for MT-SDT.</w:t>
      </w:r>
    </w:p>
    <w:p w14:paraId="035A02A5" w14:textId="2448337F" w:rsidR="00F94613" w:rsidRDefault="00F94613" w:rsidP="00DF155A">
      <w:pPr>
        <w:jc w:val="both"/>
        <w:rPr>
          <w:rFonts w:ascii="Arial" w:hAnsi="Arial" w:cs="Arial"/>
          <w:b/>
        </w:rPr>
      </w:pPr>
      <w:r w:rsidRPr="00F94613">
        <w:rPr>
          <w:rFonts w:ascii="Arial" w:hAnsi="Arial" w:cs="Arial"/>
          <w:b/>
          <w:color w:val="000000" w:themeColor="text1"/>
        </w:rPr>
        <w:t xml:space="preserve">Proposal 3: For RA based MT-SDT, UE switches to </w:t>
      </w:r>
      <w:r w:rsidRPr="00F94613">
        <w:rPr>
          <w:rFonts w:ascii="Arial" w:hAnsi="Arial" w:cs="Arial"/>
          <w:b/>
        </w:rPr>
        <w:t>DL BWP configured for MT-SDT after the completion of RA procedure</w:t>
      </w:r>
      <w:r>
        <w:rPr>
          <w:rFonts w:ascii="Arial" w:hAnsi="Arial" w:cs="Arial"/>
          <w:b/>
        </w:rPr>
        <w:t>.</w:t>
      </w:r>
    </w:p>
    <w:p w14:paraId="5D8A776C" w14:textId="32968F93" w:rsidR="00945F59" w:rsidRDefault="00945F59" w:rsidP="00DF155A">
      <w:pPr>
        <w:jc w:val="both"/>
        <w:rPr>
          <w:rFonts w:ascii="Arial" w:hAnsi="Arial" w:cs="Arial"/>
        </w:rPr>
      </w:pPr>
      <w:r w:rsidRPr="00AA235C">
        <w:rPr>
          <w:rFonts w:ascii="Arial" w:hAnsi="Arial" w:cs="Arial"/>
          <w:color w:val="000000" w:themeColor="text1"/>
        </w:rPr>
        <w:t xml:space="preserve">CG-based MT-SDT can follow the similar approach. </w:t>
      </w:r>
      <w:r w:rsidR="00AA235C" w:rsidRPr="00AA235C">
        <w:rPr>
          <w:rFonts w:ascii="Arial" w:hAnsi="Arial" w:cs="Arial"/>
          <w:color w:val="000000" w:themeColor="text1"/>
        </w:rPr>
        <w:t xml:space="preserve">UE switches to </w:t>
      </w:r>
      <w:r w:rsidR="00AA235C" w:rsidRPr="00AA235C">
        <w:rPr>
          <w:rFonts w:ascii="Arial" w:hAnsi="Arial" w:cs="Arial"/>
        </w:rPr>
        <w:t>DL BWP configured for MT-SDT after receiving the acknowledgment (i.e. new DL assignment or UL grant</w:t>
      </w:r>
      <w:r w:rsidR="00AA235C">
        <w:rPr>
          <w:rFonts w:ascii="Arial" w:hAnsi="Arial" w:cs="Arial"/>
        </w:rPr>
        <w:t xml:space="preserve"> for new transmission</w:t>
      </w:r>
      <w:r w:rsidR="00AA235C" w:rsidRPr="00AA235C">
        <w:rPr>
          <w:rFonts w:ascii="Arial" w:hAnsi="Arial" w:cs="Arial"/>
        </w:rPr>
        <w:t xml:space="preserve">) </w:t>
      </w:r>
      <w:r w:rsidR="00AA235C">
        <w:rPr>
          <w:rFonts w:ascii="Arial" w:hAnsi="Arial" w:cs="Arial"/>
        </w:rPr>
        <w:t>for</w:t>
      </w:r>
      <w:r w:rsidR="00AA235C" w:rsidRPr="00AA235C">
        <w:rPr>
          <w:rFonts w:ascii="Arial" w:hAnsi="Arial" w:cs="Arial"/>
        </w:rPr>
        <w:t xml:space="preserve"> the initial uplink transmission.</w:t>
      </w:r>
    </w:p>
    <w:p w14:paraId="7EE451AA" w14:textId="2B6BE04D" w:rsidR="00AA235C" w:rsidRPr="00AA235C" w:rsidRDefault="00AA235C" w:rsidP="00DF155A">
      <w:pPr>
        <w:jc w:val="both"/>
        <w:rPr>
          <w:rFonts w:ascii="Arial" w:hAnsi="Arial" w:cs="Arial"/>
          <w:b/>
        </w:rPr>
      </w:pPr>
      <w:r w:rsidRPr="00AA235C">
        <w:rPr>
          <w:rFonts w:ascii="Arial" w:hAnsi="Arial" w:cs="Arial"/>
          <w:b/>
          <w:color w:val="000000" w:themeColor="text1"/>
        </w:rPr>
        <w:t xml:space="preserve">Proposal 4: For CG based MT-SDT, UE switches to </w:t>
      </w:r>
      <w:r w:rsidRPr="00AA235C">
        <w:rPr>
          <w:rFonts w:ascii="Arial" w:hAnsi="Arial" w:cs="Arial"/>
          <w:b/>
        </w:rPr>
        <w:t>DL BWP configured for MT-SDT after receiving the acknowledgment (i.e. new DL assignment or UL grant for new transmission) for the initial uplink transmission.</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0D58FCF2" w14:textId="77777777" w:rsidR="00F94613" w:rsidRPr="00F94613" w:rsidRDefault="00F94613" w:rsidP="00F94613">
      <w:pPr>
        <w:jc w:val="both"/>
        <w:rPr>
          <w:rFonts w:ascii="Arial" w:hAnsi="Arial" w:cs="Arial"/>
          <w:b/>
        </w:rPr>
      </w:pPr>
      <w:r w:rsidRPr="00F94613">
        <w:rPr>
          <w:rFonts w:ascii="Arial" w:hAnsi="Arial" w:cs="Arial"/>
          <w:b/>
          <w:color w:val="000000" w:themeColor="text1"/>
        </w:rPr>
        <w:t xml:space="preserve">Proposal 1: Introduce a dedicated </w:t>
      </w:r>
      <w:r w:rsidRPr="00F94613">
        <w:rPr>
          <w:rFonts w:ascii="Arial" w:hAnsi="Arial" w:cs="Arial"/>
          <w:b/>
        </w:rPr>
        <w:t>downlink BWP for MT-SDT. This DL BWP is configured in SIB1.</w:t>
      </w:r>
    </w:p>
    <w:p w14:paraId="29EC7501" w14:textId="77777777" w:rsidR="00F94613" w:rsidRPr="00F94613" w:rsidRDefault="00F94613" w:rsidP="00F94613">
      <w:pPr>
        <w:jc w:val="both"/>
        <w:rPr>
          <w:rFonts w:ascii="Arial" w:hAnsi="Arial" w:cs="Arial"/>
          <w:b/>
        </w:rPr>
      </w:pPr>
      <w:r w:rsidRPr="00F94613">
        <w:rPr>
          <w:rFonts w:ascii="Arial" w:hAnsi="Arial" w:cs="Arial"/>
          <w:b/>
          <w:color w:val="000000" w:themeColor="text1"/>
        </w:rPr>
        <w:t>Proposal 2: Introduce a n</w:t>
      </w:r>
      <w:r w:rsidRPr="00F94613">
        <w:rPr>
          <w:rFonts w:ascii="Arial" w:hAnsi="Arial" w:cs="Arial"/>
          <w:b/>
        </w:rPr>
        <w:t>ew resume cause indicating MT-SDT using DL BWP for MT-SDT.</w:t>
      </w:r>
    </w:p>
    <w:p w14:paraId="6F517DD4" w14:textId="602311E3" w:rsidR="00F94613" w:rsidRDefault="00F94613" w:rsidP="00F94613">
      <w:pPr>
        <w:jc w:val="both"/>
        <w:rPr>
          <w:rFonts w:ascii="Arial" w:hAnsi="Arial" w:cs="Arial"/>
          <w:b/>
        </w:rPr>
      </w:pPr>
      <w:r w:rsidRPr="00F94613">
        <w:rPr>
          <w:rFonts w:ascii="Arial" w:hAnsi="Arial" w:cs="Arial"/>
          <w:b/>
          <w:color w:val="000000" w:themeColor="text1"/>
        </w:rPr>
        <w:t xml:space="preserve">Proposal 3: For RA based MT-SDT, UE switches to </w:t>
      </w:r>
      <w:r w:rsidRPr="00F94613">
        <w:rPr>
          <w:rFonts w:ascii="Arial" w:hAnsi="Arial" w:cs="Arial"/>
          <w:b/>
        </w:rPr>
        <w:t>DL BWP configured for MT-SDT after the completion of RA procedure.</w:t>
      </w:r>
    </w:p>
    <w:p w14:paraId="7FC66E62" w14:textId="77777777" w:rsidR="00AA235C" w:rsidRPr="00AA235C" w:rsidRDefault="00AA235C" w:rsidP="00AA235C">
      <w:pPr>
        <w:jc w:val="both"/>
        <w:rPr>
          <w:rFonts w:ascii="Arial" w:hAnsi="Arial" w:cs="Arial"/>
          <w:b/>
        </w:rPr>
      </w:pPr>
      <w:r w:rsidRPr="00AA235C">
        <w:rPr>
          <w:rFonts w:ascii="Arial" w:hAnsi="Arial" w:cs="Arial"/>
          <w:b/>
          <w:color w:val="000000" w:themeColor="text1"/>
        </w:rPr>
        <w:t xml:space="preserve">Proposal 4: For CG based MT-SDT, UE switches to </w:t>
      </w:r>
      <w:r w:rsidRPr="00AA235C">
        <w:rPr>
          <w:rFonts w:ascii="Arial" w:hAnsi="Arial" w:cs="Arial"/>
          <w:b/>
        </w:rPr>
        <w:t>DL BWP configured for MT-SDT after receiving the acknowledgment (i.e. new DL assignment or UL grant for new transmission) for the initial uplink transmission.</w:t>
      </w:r>
    </w:p>
    <w:p w14:paraId="64E0A017" w14:textId="740BB6CE" w:rsidR="00F93930" w:rsidRDefault="004753B1"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References</w:t>
      </w:r>
    </w:p>
    <w:p w14:paraId="0A3EC17C" w14:textId="77777777" w:rsidR="00A74786" w:rsidRPr="00A74786" w:rsidRDefault="00A74786" w:rsidP="00A74786">
      <w:pPr>
        <w:rPr>
          <w:lang w:val="en-US"/>
        </w:rPr>
      </w:pPr>
    </w:p>
    <w:sectPr w:rsidR="00A74786" w:rsidRPr="00A74786"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D0F27" w14:textId="77777777" w:rsidR="004A5A4D" w:rsidRDefault="004A5A4D" w:rsidP="00083046">
      <w:r>
        <w:separator/>
      </w:r>
    </w:p>
  </w:endnote>
  <w:endnote w:type="continuationSeparator" w:id="0">
    <w:p w14:paraId="6FADF2C6" w14:textId="77777777" w:rsidR="004A5A4D" w:rsidRDefault="004A5A4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35CED" w14:textId="77777777" w:rsidR="004A5A4D" w:rsidRDefault="004A5A4D" w:rsidP="00083046">
      <w:r>
        <w:separator/>
      </w:r>
    </w:p>
  </w:footnote>
  <w:footnote w:type="continuationSeparator" w:id="0">
    <w:p w14:paraId="36A0C885" w14:textId="77777777" w:rsidR="004A5A4D" w:rsidRDefault="004A5A4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B416CD"/>
    <w:multiLevelType w:val="hybridMultilevel"/>
    <w:tmpl w:val="218A1468"/>
    <w:lvl w:ilvl="0" w:tplc="CBF28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777EE2"/>
    <w:multiLevelType w:val="hybridMultilevel"/>
    <w:tmpl w:val="BA90C2EE"/>
    <w:lvl w:ilvl="0" w:tplc="2DE4E3DA">
      <w:start w:val="1"/>
      <w:numFmt w:val="decimal"/>
      <w:lvlText w:val="%1."/>
      <w:lvlJc w:val="left"/>
      <w:pPr>
        <w:ind w:left="360" w:hanging="360"/>
      </w:pPr>
      <w:rPr>
        <w:rFonts w:eastAsia="MS Minch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A453A"/>
    <w:multiLevelType w:val="hybridMultilevel"/>
    <w:tmpl w:val="17A2091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93F4290"/>
    <w:multiLevelType w:val="hybridMultilevel"/>
    <w:tmpl w:val="A84A97D4"/>
    <w:lvl w:ilvl="0" w:tplc="B676729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E4380A"/>
    <w:multiLevelType w:val="hybridMultilevel"/>
    <w:tmpl w:val="E21876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EA46E2"/>
    <w:multiLevelType w:val="hybridMultilevel"/>
    <w:tmpl w:val="2F32FE9A"/>
    <w:lvl w:ilvl="0" w:tplc="17DE28CE">
      <w:numFmt w:val="decimal"/>
      <w:lvlText w:val="%1."/>
      <w:lvlJc w:val="left"/>
      <w:pPr>
        <w:ind w:left="360" w:hanging="360"/>
      </w:pPr>
      <w:rPr>
        <w:rFonts w:eastAsia="MS Mincho"/>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9"/>
  </w:num>
  <w:num w:numId="4">
    <w:abstractNumId w:val="37"/>
  </w:num>
  <w:num w:numId="5">
    <w:abstractNumId w:val="22"/>
  </w:num>
  <w:num w:numId="6">
    <w:abstractNumId w:val="42"/>
  </w:num>
  <w:num w:numId="7">
    <w:abstractNumId w:val="25"/>
  </w:num>
  <w:num w:numId="8">
    <w:abstractNumId w:val="24"/>
  </w:num>
  <w:num w:numId="9">
    <w:abstractNumId w:val="3"/>
  </w:num>
  <w:num w:numId="10">
    <w:abstractNumId w:val="26"/>
  </w:num>
  <w:num w:numId="11">
    <w:abstractNumId w:val="45"/>
  </w:num>
  <w:num w:numId="12">
    <w:abstractNumId w:val="44"/>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5"/>
  </w:num>
  <w:num w:numId="15">
    <w:abstractNumId w:val="6"/>
  </w:num>
  <w:num w:numId="16">
    <w:abstractNumId w:val="47"/>
  </w:num>
  <w:num w:numId="17">
    <w:abstractNumId w:val="13"/>
  </w:num>
  <w:num w:numId="18">
    <w:abstractNumId w:val="3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8"/>
  </w:num>
  <w:num w:numId="22">
    <w:abstractNumId w:val="32"/>
  </w:num>
  <w:num w:numId="23">
    <w:abstractNumId w:val="20"/>
  </w:num>
  <w:num w:numId="24">
    <w:abstractNumId w:val="7"/>
  </w:num>
  <w:num w:numId="25">
    <w:abstractNumId w:val="46"/>
  </w:num>
  <w:num w:numId="26">
    <w:abstractNumId w:val="41"/>
  </w:num>
  <w:num w:numId="27">
    <w:abstractNumId w:val="31"/>
  </w:num>
  <w:num w:numId="28">
    <w:abstractNumId w:val="11"/>
  </w:num>
  <w:num w:numId="29">
    <w:abstractNumId w:val="2"/>
  </w:num>
  <w:num w:numId="30">
    <w:abstractNumId w:val="4"/>
  </w:num>
  <w:num w:numId="31">
    <w:abstractNumId w:val="39"/>
  </w:num>
  <w:num w:numId="32">
    <w:abstractNumId w:val="0"/>
  </w:num>
  <w:num w:numId="33">
    <w:abstractNumId w:val="28"/>
  </w:num>
  <w:num w:numId="34">
    <w:abstractNumId w:val="43"/>
  </w:num>
  <w:num w:numId="35">
    <w:abstractNumId w:val="14"/>
  </w:num>
  <w:num w:numId="36">
    <w:abstractNumId w:val="21"/>
  </w:num>
  <w:num w:numId="37">
    <w:abstractNumId w:val="16"/>
  </w:num>
  <w:num w:numId="38">
    <w:abstractNumId w:val="15"/>
  </w:num>
  <w:num w:numId="39">
    <w:abstractNumId w:val="40"/>
  </w:num>
  <w:num w:numId="40">
    <w:abstractNumId w:val="8"/>
  </w:num>
  <w:num w:numId="41">
    <w:abstractNumId w:val="10"/>
  </w:num>
  <w:num w:numId="42">
    <w:abstractNumId w:val="18"/>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19"/>
  </w:num>
  <w:num w:numId="46">
    <w:abstractNumId w:val="34"/>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6557"/>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125"/>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D06"/>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999"/>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3B1"/>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A4D"/>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2AD"/>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8A8"/>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ABB"/>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3D"/>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1B6D"/>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5F59"/>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786"/>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35C"/>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7774B"/>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8D2"/>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1AF6"/>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40D"/>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55A"/>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90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613"/>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qFormat/>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 w:type="paragraph" w:customStyle="1" w:styleId="B21">
    <w:name w:val="B2'"/>
    <w:basedOn w:val="B2"/>
    <w:qFormat/>
    <w:rsid w:val="005B12AD"/>
    <w:pPr>
      <w:ind w:left="431" w:firstLine="0"/>
    </w:pPr>
    <w:rPr>
      <w:rFonts w:ascii="Arial" w:hAnsi="Arial" w:cs="Arial"/>
      <w:b/>
      <w:lang w:eastAsia="ko-KR"/>
    </w:rPr>
  </w:style>
  <w:style w:type="paragraph" w:customStyle="1" w:styleId="Agreement">
    <w:name w:val="Agreement"/>
    <w:basedOn w:val="Normal"/>
    <w:uiPriority w:val="99"/>
    <w:rsid w:val="005D58A8"/>
    <w:pPr>
      <w:numPr>
        <w:numId w:val="46"/>
      </w:numPr>
      <w:spacing w:before="60" w:after="0"/>
    </w:pPr>
    <w:rPr>
      <w:rFonts w:ascii="Arial" w:eastAsiaTheme="minorHAnsi"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0976929">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229637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0962704">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8063590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450354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5669910">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024573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2085989">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8\Docs\R2-241054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8\Docs\R2-241054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21E12-8FEA-47B7-BE86-303821C4B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2025-02-05T17:23:00Z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